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F8" w:rsidRPr="00CE45F8" w:rsidRDefault="00CE45F8" w:rsidP="00CE45F8">
      <w:pPr>
        <w:jc w:val="center"/>
        <w:rPr>
          <w:rFonts w:cstheme="minorHAnsi"/>
          <w:b/>
          <w:iCs/>
          <w:color w:val="C00000"/>
          <w:sz w:val="40"/>
          <w:szCs w:val="40"/>
          <w:shd w:val="clear" w:color="auto" w:fill="E0E0E0"/>
        </w:rPr>
      </w:pPr>
      <w:r w:rsidRPr="00CE45F8">
        <w:rPr>
          <w:rFonts w:cstheme="minorHAnsi"/>
          <w:b/>
          <w:iCs/>
          <w:color w:val="C00000"/>
          <w:sz w:val="40"/>
          <w:szCs w:val="40"/>
          <w:shd w:val="clear" w:color="auto" w:fill="E0E0E0"/>
        </w:rPr>
        <w:t>Current Affairs Important Topics</w:t>
      </w:r>
      <w:r>
        <w:rPr>
          <w:rFonts w:cstheme="minorHAnsi"/>
          <w:b/>
          <w:iCs/>
          <w:color w:val="C00000"/>
          <w:sz w:val="40"/>
          <w:szCs w:val="40"/>
          <w:shd w:val="clear" w:color="auto" w:fill="E0E0E0"/>
        </w:rPr>
        <w:t xml:space="preserve"> 2019-20</w:t>
      </w:r>
      <w:r w:rsidRPr="00CE45F8">
        <w:rPr>
          <w:rFonts w:cstheme="minorHAnsi"/>
          <w:b/>
          <w:iCs/>
          <w:color w:val="C00000"/>
          <w:sz w:val="40"/>
          <w:szCs w:val="40"/>
        </w:rPr>
        <w:br/>
      </w:r>
    </w:p>
    <w:p w:rsidR="00CE45F8" w:rsidRPr="00CE45F8" w:rsidRDefault="00CE45F8">
      <w:pPr>
        <w:rPr>
          <w:rFonts w:cstheme="minorHAnsi"/>
          <w:iCs/>
          <w:color w:val="C00000"/>
          <w:sz w:val="40"/>
          <w:szCs w:val="40"/>
          <w:shd w:val="clear" w:color="auto" w:fill="E0E0E0"/>
        </w:rPr>
      </w:pP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1.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BRI: Its Regional and Global Dimensions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2.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FATF (Financial Action Task Force)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3.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US-China Trade War and its effects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4.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Financial Federalism in Pakistan and Implications on Provinces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5.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India’s Nuclear Doctrine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6.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China's Middle East Policy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7.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State-Owned Enterprises (SOE’s) in Pakistan and their privatization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8.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Pakistan-China Strategic Interdependence: Past, Present, and Future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9.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Cyber-Threats to Pakistan’s Security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10.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Indo-US Nexus and its impact on Pakistan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11.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Pak-India Relations and the way forward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12</w:t>
      </w:r>
      <w:r>
        <w:rPr>
          <w:rFonts w:cstheme="minorHAnsi"/>
          <w:iCs/>
          <w:sz w:val="40"/>
          <w:szCs w:val="40"/>
          <w:shd w:val="clear" w:color="auto" w:fill="E0E0E0"/>
        </w:rPr>
        <w:t>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Pakistan’s Growing Relations with Russia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13.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Importance of Indus Water Treaty for Pakistan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14.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NSG membership India, Pak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15.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Crisis Syria: A ‘Theatre’ of War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16.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Maritime security challenges in Indian Ocean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17.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Deterrence Stability in South Asia</w:t>
      </w:r>
      <w:r w:rsidRPr="00CE45F8">
        <w:rPr>
          <w:rFonts w:cstheme="minorHAnsi"/>
          <w:iCs/>
          <w:color w:val="C00000"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lastRenderedPageBreak/>
        <w:t>18.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Multi-polar World Order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19.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South-China Sea Crisis and its Implications</w:t>
      </w:r>
      <w:r w:rsidRPr="00CE45F8">
        <w:rPr>
          <w:rFonts w:cstheme="minorHAnsi"/>
          <w:iCs/>
          <w:sz w:val="40"/>
          <w:szCs w:val="40"/>
        </w:rPr>
        <w:br/>
      </w:r>
      <w:r w:rsidRPr="00CE45F8">
        <w:rPr>
          <w:rFonts w:cstheme="minorHAnsi"/>
          <w:iCs/>
          <w:color w:val="C00000"/>
          <w:sz w:val="40"/>
          <w:szCs w:val="40"/>
          <w:shd w:val="clear" w:color="auto" w:fill="E0E0E0"/>
        </w:rPr>
        <w:t>20.</w:t>
      </w:r>
      <w:r w:rsidRPr="00CE45F8">
        <w:rPr>
          <w:rFonts w:cstheme="minorHAnsi"/>
          <w:iCs/>
          <w:sz w:val="40"/>
          <w:szCs w:val="40"/>
          <w:shd w:val="clear" w:color="auto" w:fill="E0E0E0"/>
        </w:rPr>
        <w:t xml:space="preserve"> Afghan Crisis and the Ongoing Talks: What Lies Ahead</w:t>
      </w:r>
    </w:p>
    <w:sectPr w:rsidR="00CE45F8" w:rsidRPr="00CE45F8" w:rsidSect="00785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20"/>
  <w:characterSpacingControl w:val="doNotCompress"/>
  <w:compat/>
  <w:rsids>
    <w:rsidRoot w:val="00CE45F8"/>
    <w:rsid w:val="00785BE0"/>
    <w:rsid w:val="00CE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EJAZ</dc:creator>
  <cp:lastModifiedBy>EJAZ</cp:lastModifiedBy>
  <cp:revision>1</cp:revision>
  <dcterms:created xsi:type="dcterms:W3CDTF">2020-02-01T15:32:00Z</dcterms:created>
  <dcterms:modified xsi:type="dcterms:W3CDTF">2020-02-01T15:37:00Z</dcterms:modified>
</cp:coreProperties>
</file>